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64561" w:rsidRDefault="00964561" w:rsidP="00641026">
      <w:pPr>
        <w:spacing w:after="0" w:line="240" w:lineRule="auto"/>
        <w:ind w:left="5664" w:firstLine="708"/>
        <w:rPr>
          <w:rFonts w:ascii="Times New Roman" w:hAnsi="Times New Roman"/>
          <w:b/>
          <w:sz w:val="28"/>
          <w:szCs w:val="28"/>
        </w:rPr>
      </w:pP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964561" w:rsidRDefault="00964561" w:rsidP="00940B28">
      <w:pPr>
        <w:spacing w:after="0" w:line="240" w:lineRule="auto"/>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0D18D1">
        <w:rPr>
          <w:rFonts w:ascii="Times New Roman" w:hAnsi="Times New Roman"/>
          <w:sz w:val="28"/>
          <w:szCs w:val="28"/>
        </w:rPr>
        <w:t>1</w:t>
      </w:r>
      <w:r w:rsidR="00964561" w:rsidRPr="00964561">
        <w:rPr>
          <w:rFonts w:ascii="Times New Roman" w:hAnsi="Times New Roman"/>
          <w:sz w:val="28"/>
          <w:szCs w:val="28"/>
        </w:rPr>
        <w:t>9</w:t>
      </w:r>
      <w:r>
        <w:rPr>
          <w:rFonts w:ascii="Times New Roman" w:hAnsi="Times New Roman"/>
          <w:sz w:val="28"/>
          <w:szCs w:val="28"/>
        </w:rPr>
        <w:t>/2012</w:t>
      </w:r>
    </w:p>
    <w:p w:rsidR="00C6051F" w:rsidRDefault="00964561" w:rsidP="00940B28">
      <w:pPr>
        <w:spacing w:after="0" w:line="240" w:lineRule="auto"/>
        <w:rPr>
          <w:rFonts w:ascii="Times New Roman" w:hAnsi="Times New Roman"/>
          <w:sz w:val="28"/>
          <w:szCs w:val="28"/>
        </w:rPr>
      </w:pPr>
      <w:r w:rsidRPr="00964561">
        <w:rPr>
          <w:rFonts w:ascii="Times New Roman" w:hAnsi="Times New Roman"/>
          <w:sz w:val="28"/>
          <w:szCs w:val="28"/>
        </w:rPr>
        <w:t>31</w:t>
      </w:r>
      <w:r w:rsidR="008A7ED4" w:rsidRPr="008A7ED4">
        <w:rPr>
          <w:rFonts w:ascii="Times New Roman" w:hAnsi="Times New Roman"/>
          <w:sz w:val="28"/>
          <w:szCs w:val="28"/>
        </w:rPr>
        <w:t xml:space="preserve"> </w:t>
      </w:r>
      <w:r>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продление технической поддержки программного обеспечения IBM Lotus Domino (далее по тексту товар) в соответствии с количеством, комплектностью и техническими требованиями, указанными в Таблице №1.</w:t>
      </w:r>
    </w:p>
    <w:p w:rsidR="00964561" w:rsidRDefault="00964561" w:rsidP="00964561">
      <w:pPr>
        <w:pStyle w:val="a4"/>
        <w:spacing w:after="0" w:line="240" w:lineRule="auto"/>
        <w:jc w:val="both"/>
        <w:rPr>
          <w:rFonts w:ascii="Times New Roman" w:hAnsi="Times New Roman"/>
          <w:sz w:val="24"/>
          <w:szCs w:val="24"/>
        </w:rPr>
      </w:pP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811"/>
        <w:gridCol w:w="1829"/>
        <w:gridCol w:w="1252"/>
      </w:tblGrid>
      <w:tr w:rsidR="00964561" w:rsidRPr="00964561" w:rsidTr="00964561">
        <w:trPr>
          <w:trHeight w:val="482"/>
        </w:trPr>
        <w:tc>
          <w:tcPr>
            <w:tcW w:w="1101" w:type="dxa"/>
          </w:tcPr>
          <w:p w:rsidR="00964561" w:rsidRPr="00964561" w:rsidRDefault="00964561" w:rsidP="00964561">
            <w:pPr>
              <w:pStyle w:val="af5"/>
              <w:spacing w:before="0" w:after="0"/>
              <w:rPr>
                <w:sz w:val="24"/>
                <w:szCs w:val="24"/>
              </w:rPr>
            </w:pPr>
            <w:r w:rsidRPr="00964561">
              <w:rPr>
                <w:sz w:val="24"/>
                <w:szCs w:val="24"/>
              </w:rPr>
              <w:t xml:space="preserve">№ </w:t>
            </w:r>
            <w:proofErr w:type="spellStart"/>
            <w:proofErr w:type="gramStart"/>
            <w:r w:rsidRPr="00964561">
              <w:rPr>
                <w:sz w:val="24"/>
                <w:szCs w:val="24"/>
              </w:rPr>
              <w:t>п</w:t>
            </w:r>
            <w:proofErr w:type="spellEnd"/>
            <w:proofErr w:type="gramEnd"/>
            <w:r w:rsidRPr="00964561">
              <w:rPr>
                <w:sz w:val="24"/>
                <w:szCs w:val="24"/>
              </w:rPr>
              <w:t>/</w:t>
            </w:r>
            <w:proofErr w:type="spellStart"/>
            <w:r w:rsidRPr="00964561">
              <w:rPr>
                <w:sz w:val="24"/>
                <w:szCs w:val="24"/>
              </w:rPr>
              <w:t>п</w:t>
            </w:r>
            <w:proofErr w:type="spellEnd"/>
          </w:p>
        </w:tc>
        <w:tc>
          <w:tcPr>
            <w:tcW w:w="5811" w:type="dxa"/>
          </w:tcPr>
          <w:p w:rsidR="00964561" w:rsidRPr="00964561" w:rsidRDefault="00964561" w:rsidP="00964561">
            <w:pPr>
              <w:pStyle w:val="af5"/>
              <w:spacing w:before="0" w:after="0"/>
              <w:rPr>
                <w:sz w:val="24"/>
                <w:szCs w:val="24"/>
              </w:rPr>
            </w:pPr>
            <w:r w:rsidRPr="00964561">
              <w:rPr>
                <w:sz w:val="24"/>
                <w:szCs w:val="24"/>
              </w:rPr>
              <w:t>Наименование и описание продукции</w:t>
            </w:r>
          </w:p>
        </w:tc>
        <w:tc>
          <w:tcPr>
            <w:tcW w:w="1829" w:type="dxa"/>
          </w:tcPr>
          <w:p w:rsidR="00964561" w:rsidRPr="00964561" w:rsidRDefault="00964561" w:rsidP="00964561">
            <w:pPr>
              <w:pStyle w:val="af5"/>
              <w:spacing w:before="0" w:after="0"/>
              <w:rPr>
                <w:sz w:val="24"/>
                <w:szCs w:val="24"/>
              </w:rPr>
            </w:pPr>
            <w:r w:rsidRPr="00964561">
              <w:rPr>
                <w:sz w:val="24"/>
                <w:szCs w:val="24"/>
              </w:rPr>
              <w:t xml:space="preserve">Ед. </w:t>
            </w:r>
            <w:proofErr w:type="spellStart"/>
            <w:r w:rsidRPr="00964561">
              <w:rPr>
                <w:sz w:val="24"/>
                <w:szCs w:val="24"/>
              </w:rPr>
              <w:t>изм</w:t>
            </w:r>
            <w:proofErr w:type="spellEnd"/>
            <w:r w:rsidRPr="00964561">
              <w:rPr>
                <w:sz w:val="24"/>
                <w:szCs w:val="24"/>
              </w:rPr>
              <w:t>.</w:t>
            </w:r>
          </w:p>
        </w:tc>
        <w:tc>
          <w:tcPr>
            <w:tcW w:w="1252" w:type="dxa"/>
          </w:tcPr>
          <w:p w:rsidR="00964561" w:rsidRPr="00964561" w:rsidRDefault="00964561" w:rsidP="00964561">
            <w:pPr>
              <w:pStyle w:val="af5"/>
              <w:spacing w:before="0" w:after="0"/>
              <w:rPr>
                <w:sz w:val="24"/>
                <w:szCs w:val="24"/>
              </w:rPr>
            </w:pPr>
            <w:r w:rsidRPr="00964561">
              <w:rPr>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Workflow User Annual SW Subscription &amp; Support Renewal (E00RMLL - 01-Oct-2012 to 30-Sep-2013)</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lang w:val="en-US"/>
              </w:rPr>
              <w:t>2</w:t>
            </w:r>
          </w:p>
        </w:tc>
      </w:tr>
      <w:tr w:rsidR="00964561" w:rsidRPr="00964561" w:rsidTr="00964561">
        <w:trPr>
          <w:trHeight w:val="56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Messaging Server Processor Value Unit (PVU) Annual SW Subscription &amp; Support Renewal (E020ILL 01-Oct-2012 to 30-Sep-2013)</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200</w:t>
            </w:r>
          </w:p>
        </w:tc>
      </w:tr>
      <w:tr w:rsidR="00964561" w:rsidRPr="00964561" w:rsidTr="00964561">
        <w:trPr>
          <w:trHeight w:val="773"/>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Enterprise Server Processor Value Unit (PVU) Annual SW Subscription &amp; Support Renewal (E020KLL - 01-Oct-2012 to 30-Sep-2013)</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1100</w:t>
            </w:r>
          </w:p>
        </w:tc>
      </w:tr>
      <w:tr w:rsidR="00964561" w:rsidRPr="00964561" w:rsidTr="00964561">
        <w:trPr>
          <w:trHeight w:val="700"/>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964561">
            <w:pPr>
              <w:pStyle w:val="af4"/>
              <w:spacing w:before="0" w:after="0"/>
              <w:rPr>
                <w:lang w:val="en-US"/>
              </w:rPr>
            </w:pPr>
            <w:r w:rsidRPr="00964561">
              <w:rPr>
                <w:rFonts w:eastAsia="Calibri"/>
                <w:lang w:val="en-US"/>
              </w:rPr>
              <w:t>IBM Lotus Domino Enterprise Client Access License Authorized User Annual SW Subscription &amp; Support Renewal (E07UMLL - 01-Oct-2012 to 30-Sep-2013)</w:t>
            </w:r>
          </w:p>
        </w:tc>
        <w:tc>
          <w:tcPr>
            <w:tcW w:w="1829" w:type="dxa"/>
            <w:vAlign w:val="center"/>
          </w:tcPr>
          <w:p w:rsidR="00964561" w:rsidRPr="00964561" w:rsidRDefault="00964561" w:rsidP="00964561">
            <w:pPr>
              <w:pStyle w:val="af4"/>
              <w:spacing w:before="0" w:after="0"/>
              <w:jc w:val="center"/>
              <w:rPr>
                <w:lang w:val="en-US"/>
              </w:rP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416</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с </w:t>
      </w:r>
      <w:r w:rsidR="00964561">
        <w:rPr>
          <w:rFonts w:ascii="Times New Roman" w:hAnsi="Times New Roman"/>
          <w:sz w:val="24"/>
          <w:szCs w:val="24"/>
        </w:rPr>
        <w:t>даты уведомления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964561">
      <w:pPr>
        <w:spacing w:after="0" w:line="240" w:lineRule="auto"/>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Консультации по вопросам эксплуатации и конфигурации программного обеспечения в рабочие часы и нерабочее время. Время реакции на запрос не более 24 часов.</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 xml:space="preserve">Обеспечение участия сертифицированных специалистов для выработки решений для устранения возникших проблем (при необходимости — и 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6F4E9F"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AF2A02" w:rsidRPr="00D621E6"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lastRenderedPageBreak/>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CE4F7E">
      <w:pPr>
        <w:spacing w:after="0" w:line="240" w:lineRule="auto"/>
        <w:ind w:firstLine="708"/>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B9" w:rsidRDefault="009F25B9" w:rsidP="00947A5E">
      <w:pPr>
        <w:spacing w:after="0" w:line="240" w:lineRule="auto"/>
      </w:pPr>
      <w:r>
        <w:separator/>
      </w:r>
    </w:p>
  </w:endnote>
  <w:endnote w:type="continuationSeparator" w:id="0">
    <w:p w:rsidR="009F25B9" w:rsidRDefault="009F25B9"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1F" w:rsidRDefault="00624A18">
    <w:pPr>
      <w:pStyle w:val="ad"/>
      <w:jc w:val="right"/>
    </w:pPr>
    <w:r>
      <w:t xml:space="preserve">   </w:t>
    </w:r>
  </w:p>
  <w:p w:rsidR="00C6051F" w:rsidRDefault="00C605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B9" w:rsidRDefault="009F25B9" w:rsidP="00947A5E">
      <w:pPr>
        <w:spacing w:after="0" w:line="240" w:lineRule="auto"/>
      </w:pPr>
      <w:r>
        <w:separator/>
      </w:r>
    </w:p>
  </w:footnote>
  <w:footnote w:type="continuationSeparator" w:id="0">
    <w:p w:rsidR="009F25B9" w:rsidRDefault="009F25B9"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C1E-E647-47A6-A098-44F231A2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5406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2012-08-31T11:02:00Z</cp:lastPrinted>
  <dcterms:created xsi:type="dcterms:W3CDTF">2012-08-31T11:02:00Z</dcterms:created>
  <dcterms:modified xsi:type="dcterms:W3CDTF">2012-08-31T11:02:00Z</dcterms:modified>
</cp:coreProperties>
</file>